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Calibri" w:hAnsi="Calibri"/>
          <w:b/>
          <w:color w:val="2E74B5"/>
          <w:sz w:val="19"/>
        </w:rPr>
        <w:t>CONFIDENTIAL BUSINESS BRIEF</w:t>
      </w:r>
    </w:p>
    <w:p>
      <w:pPr>
        <w:spacing w:before="0" w:after="80"/>
      </w:pPr>
      <w:r>
        <w:rPr>
          <w:rFonts w:ascii="Calibri" w:hAnsi="Calibri"/>
          <w:b/>
          <w:color w:val="0B2545"/>
          <w:sz w:val="48"/>
        </w:rPr>
        <w:t>Quarterly Supplier Review</w:t>
      </w:r>
    </w:p>
    <w:p>
      <w:pPr>
        <w:spacing w:after="280"/>
      </w:pPr>
      <w:r>
        <w:rPr>
          <w:rFonts w:ascii="Calibri" w:hAnsi="Calibri"/>
          <w:color w:val="5B6573"/>
          <w:sz w:val="25"/>
        </w:rPr>
        <w:t>Synthetic document created for DOCX-to-PDF fidelity testing</w:t>
      </w:r>
    </w:p>
    <w:p>
      <w:pPr>
        <w:spacing w:after="40"/>
      </w:pPr>
      <w:r>
        <w:rPr>
          <w:rFonts w:ascii="Calibri" w:hAnsi="Calibri"/>
          <w:b/>
          <w:color w:val="000000"/>
          <w:sz w:val="21"/>
        </w:rPr>
        <w:t xml:space="preserve">Prepared for: </w:t>
      </w:r>
      <w:r>
        <w:rPr>
          <w:rFonts w:ascii="Calibri" w:hAnsi="Calibri"/>
          <w:color w:val="000000"/>
          <w:sz w:val="21"/>
        </w:rPr>
        <w:t>Operations Leadership Team</w:t>
      </w:r>
    </w:p>
    <w:p>
      <w:pPr>
        <w:spacing w:after="40"/>
      </w:pPr>
      <w:r>
        <w:rPr>
          <w:rFonts w:ascii="Calibri" w:hAnsi="Calibri"/>
          <w:b/>
          <w:color w:val="000000"/>
          <w:sz w:val="21"/>
        </w:rPr>
        <w:t xml:space="preserve">Prepared by: </w:t>
      </w:r>
      <w:r>
        <w:rPr>
          <w:rFonts w:ascii="Calibri" w:hAnsi="Calibri"/>
          <w:color w:val="000000"/>
          <w:sz w:val="21"/>
        </w:rPr>
        <w:t>Northstar Research Lab (fictional)</w:t>
      </w:r>
    </w:p>
    <w:p>
      <w:pPr>
        <w:spacing w:after="40"/>
      </w:pPr>
      <w:r>
        <w:rPr>
          <w:rFonts w:ascii="Calibri" w:hAnsi="Calibri"/>
          <w:b/>
          <w:color w:val="000000"/>
          <w:sz w:val="21"/>
        </w:rPr>
        <w:t xml:space="preserve">Review date: </w:t>
      </w:r>
      <w:r>
        <w:rPr>
          <w:rFonts w:ascii="Calibri" w:hAnsi="Calibri"/>
          <w:color w:val="000000"/>
          <w:sz w:val="21"/>
        </w:rPr>
        <w:t>20 July 2026</w:t>
      </w:r>
    </w:p>
    <w:p>
      <w:pPr>
        <w:spacing w:after="40"/>
      </w:pPr>
      <w:r>
        <w:rPr>
          <w:rFonts w:ascii="Calibri" w:hAnsi="Calibri"/>
          <w:b/>
          <w:color w:val="000000"/>
          <w:sz w:val="21"/>
        </w:rPr>
        <w:t xml:space="preserve">Status: </w:t>
      </w:r>
      <w:r>
        <w:rPr>
          <w:rFonts w:ascii="Calibri" w:hAnsi="Calibri"/>
          <w:color w:val="000000"/>
          <w:sz w:val="21"/>
        </w:rPr>
        <w:t>Internal review - synthetic data only</w:t>
      </w:r>
    </w:p>
    <w:p>
      <w:pPr>
        <w:pStyle w:val="Heading1"/>
      </w:pPr>
      <w:r>
        <w:t>Executive summary</w:t>
      </w:r>
    </w:p>
    <w:p>
      <w:r>
        <w:rPr>
          <w:rFonts w:ascii="Calibri" w:hAnsi="Calibri"/>
          <w:color w:val="000000"/>
          <w:sz w:val="22"/>
        </w:rPr>
        <w:t>Northstar Research reviewed three fictional suppliers against delivery reliability, documentation quality, and continuity planning. The synthetic findings are designed to exercise headings, paragraphs, tables, lists, page breaks, font requests, headers, and footers during document conversion.</w:t>
      </w:r>
    </w:p>
    <w:tbl>
      <w:tblPr>
        <w:tblW w:type="dxa" w:w="9360"/>
        <w:jc w:val="left"/>
        <w:tblLayout w:type="fixed"/>
        <w:tblLook w:firstColumn="1" w:firstRow="1" w:lastColumn="0" w:lastRow="0" w:noHBand="0" w:noVBand="1" w:val="04A0"/>
        <w:tblInd w:w="120" w:type="dxa"/>
        <w:tblBorders>
          <w:top w:val="single" w:sz="8" w:space="0" w:color="B7C6D8"/>
          <w:left w:val="single" w:sz="8" w:space="0" w:color="B7C6D8"/>
          <w:bottom w:val="single" w:sz="8" w:space="0" w:color="B7C6D8"/>
          <w:right w:val="single" w:sz="8" w:space="0" w:color="B7C6D8"/>
          <w:insideH w:val="single" w:sz="8" w:space="0" w:color="B7C6D8"/>
          <w:insideV w:val="single" w:sz="8" w:space="0" w:color="B7C6D8"/>
        </w:tblBorders>
      </w:tblPr>
      <w:tblGrid>
        <w:gridCol w:w="9360"/>
      </w:tblGrid>
      <w:tr>
        <w:tc>
          <w:tcPr>
            <w:tcW w:type="dxa" w:w="9360"/>
            <w:tcMar>
              <w:top w:w="80" w:type="dxa"/>
              <w:start w:w="120" w:type="dxa"/>
              <w:bottom w:w="80" w:type="dxa"/>
              <w:end w:w="120" w:type="dxa"/>
            </w:tcMar>
            <w:vAlign w:val="center"/>
            <w:shd w:fill="E8EEF5"/>
          </w:tcPr>
          <w:p>
            <w:pPr>
              <w:spacing w:after="0"/>
            </w:pPr>
            <w:r>
              <w:rPr>
                <w:rFonts w:ascii="Calibri" w:hAnsi="Calibri"/>
                <w:b/>
                <w:color w:val="1F4D78"/>
                <w:sz w:val="22"/>
              </w:rPr>
              <w:t xml:space="preserve">Decision: </w:t>
            </w:r>
            <w:r>
              <w:rPr>
                <w:rFonts w:ascii="Calibri" w:hAnsi="Calibri"/>
                <w:color w:val="1F2933"/>
                <w:sz w:val="22"/>
              </w:rPr>
              <w:t>Continue with Atlas Components for the next quarter, while requiring a dated recovery plan for its documentation gap.</w:t>
            </w:r>
          </w:p>
        </w:tc>
      </w:tr>
    </w:tbl>
    <w:p>
      <w:pPr>
        <w:spacing w:after="0"/>
      </w:pPr>
    </w:p>
    <w:p>
      <w:pPr>
        <w:pStyle w:val="Heading2"/>
      </w:pPr>
      <w:r>
        <w:t>Recommended actions</w:t>
      </w:r>
    </w:p>
    <w:p>
      <w:pPr>
        <w:pStyle w:val="ListBullet"/>
        <w:spacing w:after="160" w:line="280" w:lineRule="auto"/>
        <w:ind w:left="720" w:hanging="360"/>
      </w:pPr>
      <w:r>
        <w:rPr>
          <w:rFonts w:ascii="Calibri" w:hAnsi="Calibri"/>
          <w:color w:val="000000"/>
          <w:sz w:val="22"/>
        </w:rPr>
        <w:t>Approve the Atlas Components renewal for one quarter, subject to a documentation checkpoint.</w:t>
      </w:r>
    </w:p>
    <w:p>
      <w:pPr>
        <w:pStyle w:val="ListBullet"/>
        <w:spacing w:after="160" w:line="280" w:lineRule="auto"/>
        <w:ind w:left="720" w:hanging="360"/>
      </w:pPr>
      <w:r>
        <w:rPr>
          <w:rFonts w:ascii="Calibri" w:hAnsi="Calibri"/>
          <w:color w:val="000000"/>
          <w:sz w:val="22"/>
        </w:rPr>
        <w:t>Keep Blue Harbor Logistics as the tested contingency supplier for urgent orders.</w:t>
      </w:r>
    </w:p>
    <w:p>
      <w:pPr>
        <w:pStyle w:val="ListBullet"/>
        <w:spacing w:after="160" w:line="280" w:lineRule="auto"/>
        <w:ind w:left="720" w:hanging="360"/>
      </w:pPr>
      <w:r>
        <w:rPr>
          <w:rFonts w:ascii="Calibri" w:hAnsi="Calibri"/>
          <w:color w:val="000000"/>
          <w:sz w:val="22"/>
        </w:rPr>
        <w:t>Reassess Cedar Works after its delivery variance remains below five percent for two cycles.</w:t>
      </w:r>
    </w:p>
    <w:p>
      <w:pPr>
        <w:pStyle w:val="Heading2"/>
      </w:pPr>
      <w:r>
        <w:t>Decision snapshot</w:t>
      </w:r>
    </w:p>
    <w:tbl>
      <w:tblPr>
        <w:tblW w:type="dxa" w:w="9360"/>
        <w:jc w:val="left"/>
        <w:tblLayout w:type="fixed"/>
        <w:tblLook w:firstColumn="1" w:firstRow="1" w:lastColumn="0" w:lastRow="0" w:noHBand="0" w:noVBand="1" w:val="04A0"/>
        <w:tblInd w:w="120" w:type="dxa"/>
        <w:tblBorders>
          <w:top w:val="single" w:sz="6" w:space="0" w:color="C8CDD4"/>
          <w:left w:val="single" w:sz="6" w:space="0" w:color="C8CDD4"/>
          <w:bottom w:val="single" w:sz="6" w:space="0" w:color="C8CDD4"/>
          <w:right w:val="single" w:sz="6" w:space="0" w:color="C8CDD4"/>
          <w:insideH w:val="single" w:sz="6" w:space="0" w:color="C8CDD4"/>
          <w:insideV w:val="single" w:sz="6" w:space="0" w:color="C8CDD4"/>
        </w:tblBorders>
      </w:tblPr>
      <w:tblGrid>
        <w:gridCol w:w="2520"/>
        <w:gridCol w:w="2520"/>
        <w:gridCol w:w="4320"/>
      </w:tblGrid>
      <w:tr>
        <w:trPr>
          <w:tblHeader w:val="true"/>
        </w:trPr>
        <w:tc>
          <w:tcPr>
            <w:tcW w:type="dxa" w:w="2520"/>
            <w:tcMar>
              <w:top w:w="80" w:type="dxa"/>
              <w:start w:w="120" w:type="dxa"/>
              <w:bottom w:w="80" w:type="dxa"/>
              <w:end w:w="120" w:type="dxa"/>
            </w:tcMar>
            <w:vAlign w:val="center"/>
            <w:shd w:fill="F2F4F7"/>
          </w:tcPr>
          <w:p>
            <w:pPr>
              <w:spacing w:before="0" w:after="0" w:line="240" w:lineRule="auto"/>
            </w:pPr>
            <w:r>
              <w:rPr>
                <w:rFonts w:ascii="Calibri" w:hAnsi="Calibri"/>
                <w:b/>
                <w:color w:val="0B2545"/>
                <w:sz w:val="19"/>
              </w:rPr>
              <w:t>Supplier</w:t>
            </w:r>
          </w:p>
        </w:tc>
        <w:tc>
          <w:tcPr>
            <w:tcW w:type="dxa" w:w="2520"/>
            <w:tcMar>
              <w:top w:w="80" w:type="dxa"/>
              <w:start w:w="120" w:type="dxa"/>
              <w:bottom w:w="80" w:type="dxa"/>
              <w:end w:w="120" w:type="dxa"/>
            </w:tcMar>
            <w:vAlign w:val="center"/>
            <w:shd w:fill="F2F4F7"/>
          </w:tcPr>
          <w:p>
            <w:pPr>
              <w:spacing w:before="0" w:after="0" w:line="240" w:lineRule="auto"/>
            </w:pPr>
            <w:r>
              <w:rPr>
                <w:rFonts w:ascii="Calibri" w:hAnsi="Calibri"/>
                <w:b/>
                <w:color w:val="0B2545"/>
                <w:sz w:val="19"/>
              </w:rPr>
              <w:t>Position</w:t>
            </w:r>
          </w:p>
        </w:tc>
        <w:tc>
          <w:tcPr>
            <w:tcW w:type="dxa" w:w="4320"/>
            <w:tcMar>
              <w:top w:w="80" w:type="dxa"/>
              <w:start w:w="120" w:type="dxa"/>
              <w:bottom w:w="80" w:type="dxa"/>
              <w:end w:w="120" w:type="dxa"/>
            </w:tcMar>
            <w:vAlign w:val="center"/>
            <w:shd w:fill="F2F4F7"/>
          </w:tcPr>
          <w:p>
            <w:pPr>
              <w:spacing w:before="0" w:after="0" w:line="240" w:lineRule="auto"/>
            </w:pPr>
            <w:r>
              <w:rPr>
                <w:rFonts w:ascii="Calibri" w:hAnsi="Calibri"/>
                <w:b/>
                <w:color w:val="0B2545"/>
                <w:sz w:val="19"/>
              </w:rPr>
              <w:t>Reason</w:t>
            </w:r>
          </w:p>
        </w:tc>
      </w:tr>
      <w:tr>
        <w:tc>
          <w:tcPr>
            <w:tcW w:type="dxa" w:w="2520"/>
            <w:tcMar>
              <w:top w:w="80" w:type="dxa"/>
              <w:start w:w="120" w:type="dxa"/>
              <w:bottom w:w="80" w:type="dxa"/>
              <w:end w:w="120" w:type="dxa"/>
            </w:tcMar>
            <w:vAlign w:val="center"/>
          </w:tcPr>
          <w:p>
            <w:pPr>
              <w:spacing w:before="0" w:after="0" w:line="240" w:lineRule="auto"/>
            </w:pPr>
            <w:r>
              <w:rPr>
                <w:rFonts w:ascii="Calibri" w:hAnsi="Calibri"/>
                <w:b w:val="0"/>
                <w:color w:val="1F2933"/>
                <w:sz w:val="19"/>
              </w:rPr>
              <w:t>Atlas Components</w:t>
            </w:r>
          </w:p>
        </w:tc>
        <w:tc>
          <w:tcPr>
            <w:tcW w:type="dxa" w:w="2520"/>
            <w:tcMar>
              <w:top w:w="80" w:type="dxa"/>
              <w:start w:w="120" w:type="dxa"/>
              <w:bottom w:w="80" w:type="dxa"/>
              <w:end w:w="120" w:type="dxa"/>
            </w:tcMar>
            <w:vAlign w:val="center"/>
          </w:tcPr>
          <w:p>
            <w:pPr>
              <w:spacing w:before="0" w:after="0" w:line="240" w:lineRule="auto"/>
            </w:pPr>
            <w:r>
              <w:rPr>
                <w:rFonts w:ascii="Calibri" w:hAnsi="Calibri"/>
                <w:b w:val="0"/>
                <w:color w:val="1F2933"/>
                <w:sz w:val="19"/>
              </w:rPr>
              <w:t>Preferred</w:t>
            </w:r>
          </w:p>
        </w:tc>
        <w:tc>
          <w:tcPr>
            <w:tcW w:type="dxa" w:w="4320"/>
            <w:tcMar>
              <w:top w:w="80" w:type="dxa"/>
              <w:start w:w="120" w:type="dxa"/>
              <w:bottom w:w="80" w:type="dxa"/>
              <w:end w:w="120" w:type="dxa"/>
            </w:tcMar>
            <w:vAlign w:val="center"/>
          </w:tcPr>
          <w:p>
            <w:pPr>
              <w:spacing w:before="0" w:after="0" w:line="240" w:lineRule="auto"/>
            </w:pPr>
            <w:r>
              <w:rPr>
                <w:rFonts w:ascii="Calibri" w:hAnsi="Calibri"/>
                <w:b w:val="0"/>
                <w:color w:val="1F2933"/>
                <w:sz w:val="19"/>
              </w:rPr>
              <w:t>Strong delivery record; documentation plan required</w:t>
            </w:r>
          </w:p>
        </w:tc>
      </w:tr>
      <w:tr>
        <w:tc>
          <w:tcPr>
            <w:tcW w:type="dxa" w:w="2520"/>
            <w:tcMar>
              <w:top w:w="80" w:type="dxa"/>
              <w:start w:w="120" w:type="dxa"/>
              <w:bottom w:w="80" w:type="dxa"/>
              <w:end w:w="120" w:type="dxa"/>
            </w:tcMar>
            <w:vAlign w:val="center"/>
          </w:tcPr>
          <w:p>
            <w:pPr>
              <w:spacing w:before="0" w:after="0" w:line="240" w:lineRule="auto"/>
            </w:pPr>
            <w:r>
              <w:rPr>
                <w:rFonts w:ascii="Calibri" w:hAnsi="Calibri"/>
                <w:b w:val="0"/>
                <w:color w:val="1F2933"/>
                <w:sz w:val="19"/>
              </w:rPr>
              <w:t>Blue Harbor</w:t>
            </w:r>
          </w:p>
        </w:tc>
        <w:tc>
          <w:tcPr>
            <w:tcW w:type="dxa" w:w="2520"/>
            <w:tcMar>
              <w:top w:w="80" w:type="dxa"/>
              <w:start w:w="120" w:type="dxa"/>
              <w:bottom w:w="80" w:type="dxa"/>
              <w:end w:w="120" w:type="dxa"/>
            </w:tcMar>
            <w:vAlign w:val="center"/>
          </w:tcPr>
          <w:p>
            <w:pPr>
              <w:spacing w:before="0" w:after="0" w:line="240" w:lineRule="auto"/>
            </w:pPr>
            <w:r>
              <w:rPr>
                <w:rFonts w:ascii="Calibri" w:hAnsi="Calibri"/>
                <w:b w:val="0"/>
                <w:color w:val="1F2933"/>
                <w:sz w:val="19"/>
              </w:rPr>
              <w:t>Contingency</w:t>
            </w:r>
          </w:p>
        </w:tc>
        <w:tc>
          <w:tcPr>
            <w:tcW w:type="dxa" w:w="4320"/>
            <w:tcMar>
              <w:top w:w="80" w:type="dxa"/>
              <w:start w:w="120" w:type="dxa"/>
              <w:bottom w:w="80" w:type="dxa"/>
              <w:end w:w="120" w:type="dxa"/>
            </w:tcMar>
            <w:vAlign w:val="center"/>
          </w:tcPr>
          <w:p>
            <w:pPr>
              <w:spacing w:before="0" w:after="0" w:line="240" w:lineRule="auto"/>
            </w:pPr>
            <w:r>
              <w:rPr>
                <w:rFonts w:ascii="Calibri" w:hAnsi="Calibri"/>
                <w:b w:val="0"/>
                <w:color w:val="1F2933"/>
                <w:sz w:val="19"/>
              </w:rPr>
              <w:t>Fast response and adequate capacity</w:t>
            </w:r>
          </w:p>
        </w:tc>
      </w:tr>
      <w:tr>
        <w:tc>
          <w:tcPr>
            <w:tcW w:type="dxa" w:w="2520"/>
            <w:tcMar>
              <w:top w:w="80" w:type="dxa"/>
              <w:start w:w="120" w:type="dxa"/>
              <w:bottom w:w="80" w:type="dxa"/>
              <w:end w:w="120" w:type="dxa"/>
            </w:tcMar>
            <w:vAlign w:val="center"/>
          </w:tcPr>
          <w:p>
            <w:pPr>
              <w:spacing w:before="0" w:after="0" w:line="240" w:lineRule="auto"/>
            </w:pPr>
            <w:r>
              <w:rPr>
                <w:rFonts w:ascii="Calibri" w:hAnsi="Calibri"/>
                <w:b w:val="0"/>
                <w:color w:val="1F2933"/>
                <w:sz w:val="19"/>
              </w:rPr>
              <w:t>Cedar Works</w:t>
            </w:r>
          </w:p>
        </w:tc>
        <w:tc>
          <w:tcPr>
            <w:tcW w:type="dxa" w:w="2520"/>
            <w:tcMar>
              <w:top w:w="80" w:type="dxa"/>
              <w:start w:w="120" w:type="dxa"/>
              <w:bottom w:w="80" w:type="dxa"/>
              <w:end w:w="120" w:type="dxa"/>
            </w:tcMar>
            <w:vAlign w:val="center"/>
          </w:tcPr>
          <w:p>
            <w:pPr>
              <w:spacing w:before="0" w:after="0" w:line="240" w:lineRule="auto"/>
            </w:pPr>
            <w:r>
              <w:rPr>
                <w:rFonts w:ascii="Calibri" w:hAnsi="Calibri"/>
                <w:b w:val="0"/>
                <w:color w:val="1F2933"/>
                <w:sz w:val="19"/>
              </w:rPr>
              <w:t>Monitor</w:t>
            </w:r>
          </w:p>
        </w:tc>
        <w:tc>
          <w:tcPr>
            <w:tcW w:type="dxa" w:w="4320"/>
            <w:tcMar>
              <w:top w:w="80" w:type="dxa"/>
              <w:start w:w="120" w:type="dxa"/>
              <w:bottom w:w="80" w:type="dxa"/>
              <w:end w:w="120" w:type="dxa"/>
            </w:tcMar>
            <w:vAlign w:val="center"/>
          </w:tcPr>
          <w:p>
            <w:pPr>
              <w:spacing w:before="0" w:after="0" w:line="240" w:lineRule="auto"/>
            </w:pPr>
            <w:r>
              <w:rPr>
                <w:rFonts w:ascii="Calibri" w:hAnsi="Calibri"/>
                <w:b w:val="0"/>
                <w:color w:val="1F2933"/>
                <w:sz w:val="19"/>
              </w:rPr>
              <w:t>Quality stable; delivery variance remains high</w:t>
            </w:r>
          </w:p>
        </w:tc>
      </w:tr>
    </w:tbl>
    <w:p>
      <w:r>
        <w:br w:type="page"/>
      </w:r>
    </w:p>
    <w:p>
      <w:pPr>
        <w:pStyle w:val="Heading1"/>
      </w:pPr>
      <w:r>
        <w:t>1. Risk and readiness overview</w:t>
      </w:r>
    </w:p>
    <w:p>
      <w:r>
        <w:rPr>
          <w:rFonts w:ascii="Calibri" w:hAnsi="Calibri"/>
          <w:color w:val="000000"/>
          <w:sz w:val="22"/>
        </w:rPr>
        <w:t>The matrix below uses repeated data fields so that column width, wrapping, cell padding, color, and row alignment can be compared between the source document and the generated PDF.</w:t>
      </w:r>
    </w:p>
    <w:tbl>
      <w:tblPr>
        <w:tblW w:type="dxa" w:w="9360"/>
        <w:jc w:val="left"/>
        <w:tblLayout w:type="fixed"/>
        <w:tblLook w:firstColumn="1" w:firstRow="1" w:lastColumn="0" w:lastRow="0" w:noHBand="0" w:noVBand="1" w:val="04A0"/>
        <w:tblInd w:w="120" w:type="dxa"/>
        <w:tblBorders>
          <w:top w:val="single" w:sz="6" w:space="0" w:color="C8CDD4"/>
          <w:left w:val="single" w:sz="6" w:space="0" w:color="C8CDD4"/>
          <w:bottom w:val="single" w:sz="6" w:space="0" w:color="C8CDD4"/>
          <w:right w:val="single" w:sz="6" w:space="0" w:color="C8CDD4"/>
          <w:insideH w:val="single" w:sz="6" w:space="0" w:color="C8CDD4"/>
          <w:insideV w:val="single" w:sz="6" w:space="0" w:color="C8CDD4"/>
        </w:tblBorders>
      </w:tblPr>
      <w:tblGrid>
        <w:gridCol w:w="2160"/>
        <w:gridCol w:w="1440"/>
        <w:gridCol w:w="1800"/>
        <w:gridCol w:w="3960"/>
      </w:tblGrid>
      <w:tr>
        <w:trPr>
          <w:tblHeader w:val="true"/>
        </w:trPr>
        <w:tc>
          <w:tcPr>
            <w:tcW w:type="dxa" w:w="2160"/>
            <w:tcMar>
              <w:top w:w="80" w:type="dxa"/>
              <w:start w:w="120" w:type="dxa"/>
              <w:bottom w:w="80" w:type="dxa"/>
              <w:end w:w="120" w:type="dxa"/>
            </w:tcMar>
            <w:vAlign w:val="center"/>
            <w:shd w:fill="E8EEF5"/>
          </w:tcPr>
          <w:p>
            <w:pPr>
              <w:spacing w:before="0" w:after="0" w:line="240" w:lineRule="auto"/>
            </w:pPr>
            <w:r>
              <w:rPr>
                <w:rFonts w:ascii="Calibri" w:hAnsi="Calibri"/>
                <w:b/>
                <w:color w:val="0B2545"/>
                <w:sz w:val="19"/>
              </w:rPr>
              <w:t>Control</w:t>
            </w:r>
          </w:p>
        </w:tc>
        <w:tc>
          <w:tcPr>
            <w:tcW w:type="dxa" w:w="1440"/>
            <w:tcMar>
              <w:top w:w="80" w:type="dxa"/>
              <w:start w:w="120" w:type="dxa"/>
              <w:bottom w:w="80" w:type="dxa"/>
              <w:end w:w="120" w:type="dxa"/>
            </w:tcMar>
            <w:vAlign w:val="center"/>
            <w:shd w:fill="E8EEF5"/>
          </w:tcPr>
          <w:p>
            <w:pPr>
              <w:spacing w:before="0" w:after="0" w:line="240" w:lineRule="auto"/>
            </w:pPr>
            <w:r>
              <w:rPr>
                <w:rFonts w:ascii="Calibri" w:hAnsi="Calibri"/>
                <w:b/>
                <w:color w:val="0B2545"/>
                <w:sz w:val="19"/>
              </w:rPr>
              <w:t>Rating</w:t>
            </w:r>
          </w:p>
        </w:tc>
        <w:tc>
          <w:tcPr>
            <w:tcW w:type="dxa" w:w="1800"/>
            <w:tcMar>
              <w:top w:w="80" w:type="dxa"/>
              <w:start w:w="120" w:type="dxa"/>
              <w:bottom w:w="80" w:type="dxa"/>
              <w:end w:w="120" w:type="dxa"/>
            </w:tcMar>
            <w:vAlign w:val="center"/>
            <w:shd w:fill="E8EEF5"/>
          </w:tcPr>
          <w:p>
            <w:pPr>
              <w:spacing w:before="0" w:after="0" w:line="240" w:lineRule="auto"/>
            </w:pPr>
            <w:r>
              <w:rPr>
                <w:rFonts w:ascii="Calibri" w:hAnsi="Calibri"/>
                <w:b/>
                <w:color w:val="0B2545"/>
                <w:sz w:val="19"/>
              </w:rPr>
              <w:t>Owner</w:t>
            </w:r>
          </w:p>
        </w:tc>
        <w:tc>
          <w:tcPr>
            <w:tcW w:type="dxa" w:w="3960"/>
            <w:tcMar>
              <w:top w:w="80" w:type="dxa"/>
              <w:start w:w="120" w:type="dxa"/>
              <w:bottom w:w="80" w:type="dxa"/>
              <w:end w:w="120" w:type="dxa"/>
            </w:tcMar>
            <w:vAlign w:val="center"/>
            <w:shd w:fill="E8EEF5"/>
          </w:tcPr>
          <w:p>
            <w:pPr>
              <w:spacing w:before="0" w:after="0" w:line="240" w:lineRule="auto"/>
            </w:pPr>
            <w:r>
              <w:rPr>
                <w:rFonts w:ascii="Calibri" w:hAnsi="Calibri"/>
                <w:b/>
                <w:color w:val="0B2545"/>
                <w:sz w:val="19"/>
              </w:rPr>
              <w:t>Evidence note</w:t>
            </w:r>
          </w:p>
        </w:tc>
      </w:tr>
      <w:tr>
        <w:tc>
          <w:tcPr>
            <w:tcW w:type="dxa" w:w="2160"/>
            <w:tcMar>
              <w:top w:w="80" w:type="dxa"/>
              <w:start w:w="120" w:type="dxa"/>
              <w:bottom w:w="80" w:type="dxa"/>
              <w:end w:w="120" w:type="dxa"/>
            </w:tcMar>
            <w:vAlign w:val="center"/>
          </w:tcPr>
          <w:p>
            <w:pPr>
              <w:spacing w:before="0" w:after="0" w:line="240" w:lineRule="auto"/>
            </w:pPr>
            <w:r>
              <w:rPr>
                <w:rFonts w:ascii="Calibri" w:hAnsi="Calibri"/>
                <w:b w:val="0"/>
                <w:color w:val="1F2933"/>
                <w:sz w:val="19"/>
              </w:rPr>
              <w:t>Delivery continuity</w:t>
            </w:r>
          </w:p>
        </w:tc>
        <w:tc>
          <w:tcPr>
            <w:tcW w:type="dxa" w:w="1440"/>
            <w:tcMar>
              <w:top w:w="80" w:type="dxa"/>
              <w:start w:w="120" w:type="dxa"/>
              <w:bottom w:w="80" w:type="dxa"/>
              <w:end w:w="120" w:type="dxa"/>
            </w:tcMar>
            <w:vAlign w:val="center"/>
          </w:tcPr>
          <w:p>
            <w:pPr>
              <w:spacing w:before="0" w:after="0" w:line="240" w:lineRule="auto"/>
            </w:pPr>
            <w:r>
              <w:rPr>
                <w:rFonts w:ascii="Calibri" w:hAnsi="Calibri"/>
                <w:b w:val="0"/>
                <w:color w:val="1F2933"/>
                <w:sz w:val="19"/>
              </w:rPr>
              <w:t>Low risk</w:t>
            </w:r>
          </w:p>
        </w:tc>
        <w:tc>
          <w:tcPr>
            <w:tcW w:type="dxa" w:w="1800"/>
            <w:tcMar>
              <w:top w:w="80" w:type="dxa"/>
              <w:start w:w="120" w:type="dxa"/>
              <w:bottom w:w="80" w:type="dxa"/>
              <w:end w:w="120" w:type="dxa"/>
            </w:tcMar>
            <w:vAlign w:val="center"/>
          </w:tcPr>
          <w:p>
            <w:pPr>
              <w:spacing w:before="0" w:after="0" w:line="240" w:lineRule="auto"/>
            </w:pPr>
            <w:r>
              <w:rPr>
                <w:rFonts w:ascii="Calibri" w:hAnsi="Calibri"/>
                <w:b w:val="0"/>
                <w:color w:val="1F2933"/>
                <w:sz w:val="19"/>
              </w:rPr>
              <w:t>Operations</w:t>
            </w:r>
          </w:p>
        </w:tc>
        <w:tc>
          <w:tcPr>
            <w:tcW w:type="dxa" w:w="3960"/>
            <w:tcMar>
              <w:top w:w="80" w:type="dxa"/>
              <w:start w:w="120" w:type="dxa"/>
              <w:bottom w:w="80" w:type="dxa"/>
              <w:end w:w="120" w:type="dxa"/>
            </w:tcMar>
            <w:vAlign w:val="center"/>
          </w:tcPr>
          <w:p>
            <w:pPr>
              <w:spacing w:before="0" w:after="0" w:line="240" w:lineRule="auto"/>
            </w:pPr>
            <w:r>
              <w:rPr>
                <w:rFonts w:ascii="Calibri" w:hAnsi="Calibri"/>
                <w:b w:val="0"/>
                <w:color w:val="1F2933"/>
                <w:sz w:val="19"/>
              </w:rPr>
              <w:t>Dual-source plan tested on 12 July</w:t>
            </w:r>
          </w:p>
        </w:tc>
      </w:tr>
      <w:tr>
        <w:tc>
          <w:tcPr>
            <w:tcW w:type="dxa" w:w="2160"/>
            <w:tcMar>
              <w:top w:w="80" w:type="dxa"/>
              <w:start w:w="120" w:type="dxa"/>
              <w:bottom w:w="80" w:type="dxa"/>
              <w:end w:w="120" w:type="dxa"/>
            </w:tcMar>
            <w:vAlign w:val="center"/>
          </w:tcPr>
          <w:p>
            <w:pPr>
              <w:spacing w:before="0" w:after="0" w:line="240" w:lineRule="auto"/>
            </w:pPr>
            <w:r>
              <w:rPr>
                <w:rFonts w:ascii="Calibri" w:hAnsi="Calibri"/>
                <w:b w:val="0"/>
                <w:color w:val="1F2933"/>
                <w:sz w:val="19"/>
              </w:rPr>
              <w:t>Data handling</w:t>
            </w:r>
          </w:p>
        </w:tc>
        <w:tc>
          <w:tcPr>
            <w:tcW w:type="dxa" w:w="1440"/>
            <w:tcMar>
              <w:top w:w="80" w:type="dxa"/>
              <w:start w:w="120" w:type="dxa"/>
              <w:bottom w:w="80" w:type="dxa"/>
              <w:end w:w="120" w:type="dxa"/>
            </w:tcMar>
            <w:vAlign w:val="center"/>
          </w:tcPr>
          <w:p>
            <w:pPr>
              <w:spacing w:before="0" w:after="0" w:line="240" w:lineRule="auto"/>
            </w:pPr>
            <w:r>
              <w:rPr>
                <w:rFonts w:ascii="Calibri" w:hAnsi="Calibri"/>
                <w:b w:val="0"/>
                <w:color w:val="1F2933"/>
                <w:sz w:val="19"/>
              </w:rPr>
              <w:t>Medium</w:t>
            </w:r>
          </w:p>
        </w:tc>
        <w:tc>
          <w:tcPr>
            <w:tcW w:type="dxa" w:w="1800"/>
            <w:tcMar>
              <w:top w:w="80" w:type="dxa"/>
              <w:start w:w="120" w:type="dxa"/>
              <w:bottom w:w="80" w:type="dxa"/>
              <w:end w:w="120" w:type="dxa"/>
            </w:tcMar>
            <w:vAlign w:val="center"/>
          </w:tcPr>
          <w:p>
            <w:pPr>
              <w:spacing w:before="0" w:after="0" w:line="240" w:lineRule="auto"/>
            </w:pPr>
            <w:r>
              <w:rPr>
                <w:rFonts w:ascii="Calibri" w:hAnsi="Calibri"/>
                <w:b w:val="0"/>
                <w:color w:val="1F2933"/>
                <w:sz w:val="19"/>
              </w:rPr>
              <w:t>Security</w:t>
            </w:r>
          </w:p>
        </w:tc>
        <w:tc>
          <w:tcPr>
            <w:tcW w:type="dxa" w:w="3960"/>
            <w:tcMar>
              <w:top w:w="80" w:type="dxa"/>
              <w:start w:w="120" w:type="dxa"/>
              <w:bottom w:w="80" w:type="dxa"/>
              <w:end w:w="120" w:type="dxa"/>
            </w:tcMar>
            <w:vAlign w:val="center"/>
          </w:tcPr>
          <w:p>
            <w:pPr>
              <w:spacing w:before="0" w:after="0" w:line="240" w:lineRule="auto"/>
            </w:pPr>
            <w:r>
              <w:rPr>
                <w:rFonts w:ascii="Calibri" w:hAnsi="Calibri"/>
                <w:b w:val="0"/>
                <w:color w:val="1F2933"/>
                <w:sz w:val="19"/>
              </w:rPr>
              <w:t>Access review scheduled before renewal</w:t>
            </w:r>
          </w:p>
        </w:tc>
      </w:tr>
      <w:tr>
        <w:tc>
          <w:tcPr>
            <w:tcW w:type="dxa" w:w="2160"/>
            <w:tcMar>
              <w:top w:w="80" w:type="dxa"/>
              <w:start w:w="120" w:type="dxa"/>
              <w:bottom w:w="80" w:type="dxa"/>
              <w:end w:w="120" w:type="dxa"/>
            </w:tcMar>
            <w:vAlign w:val="center"/>
          </w:tcPr>
          <w:p>
            <w:pPr>
              <w:spacing w:before="0" w:after="0" w:line="240" w:lineRule="auto"/>
            </w:pPr>
            <w:r>
              <w:rPr>
                <w:rFonts w:ascii="Calibri" w:hAnsi="Calibri"/>
                <w:b w:val="0"/>
                <w:color w:val="1F2933"/>
                <w:sz w:val="19"/>
              </w:rPr>
              <w:t>Documentation</w:t>
            </w:r>
          </w:p>
        </w:tc>
        <w:tc>
          <w:tcPr>
            <w:tcW w:type="dxa" w:w="1440"/>
            <w:tcMar>
              <w:top w:w="80" w:type="dxa"/>
              <w:start w:w="120" w:type="dxa"/>
              <w:bottom w:w="80" w:type="dxa"/>
              <w:end w:w="120" w:type="dxa"/>
            </w:tcMar>
            <w:vAlign w:val="center"/>
          </w:tcPr>
          <w:p>
            <w:pPr>
              <w:spacing w:before="0" w:after="0" w:line="240" w:lineRule="auto"/>
            </w:pPr>
            <w:r>
              <w:rPr>
                <w:rFonts w:ascii="Calibri" w:hAnsi="Calibri"/>
                <w:b w:val="0"/>
                <w:color w:val="1F2933"/>
                <w:sz w:val="19"/>
              </w:rPr>
              <w:t>Medium</w:t>
            </w:r>
          </w:p>
        </w:tc>
        <w:tc>
          <w:tcPr>
            <w:tcW w:type="dxa" w:w="1800"/>
            <w:tcMar>
              <w:top w:w="80" w:type="dxa"/>
              <w:start w:w="120" w:type="dxa"/>
              <w:bottom w:w="80" w:type="dxa"/>
              <w:end w:w="120" w:type="dxa"/>
            </w:tcMar>
            <w:vAlign w:val="center"/>
          </w:tcPr>
          <w:p>
            <w:pPr>
              <w:spacing w:before="0" w:after="0" w:line="240" w:lineRule="auto"/>
            </w:pPr>
            <w:r>
              <w:rPr>
                <w:rFonts w:ascii="Calibri" w:hAnsi="Calibri"/>
                <w:b w:val="0"/>
                <w:color w:val="1F2933"/>
                <w:sz w:val="19"/>
              </w:rPr>
              <w:t>Quality</w:t>
            </w:r>
          </w:p>
        </w:tc>
        <w:tc>
          <w:tcPr>
            <w:tcW w:type="dxa" w:w="3960"/>
            <w:tcMar>
              <w:top w:w="80" w:type="dxa"/>
              <w:start w:w="120" w:type="dxa"/>
              <w:bottom w:w="80" w:type="dxa"/>
              <w:end w:w="120" w:type="dxa"/>
            </w:tcMar>
            <w:vAlign w:val="center"/>
          </w:tcPr>
          <w:p>
            <w:pPr>
              <w:spacing w:before="0" w:after="0" w:line="240" w:lineRule="auto"/>
            </w:pPr>
            <w:r>
              <w:rPr>
                <w:rFonts w:ascii="Calibri" w:hAnsi="Calibri"/>
                <w:b w:val="0"/>
                <w:color w:val="1F2933"/>
                <w:sz w:val="19"/>
              </w:rPr>
              <w:t>Two procedures need dated revisions</w:t>
            </w:r>
          </w:p>
        </w:tc>
      </w:tr>
      <w:tr>
        <w:tc>
          <w:tcPr>
            <w:tcW w:type="dxa" w:w="2160"/>
            <w:tcMar>
              <w:top w:w="80" w:type="dxa"/>
              <w:start w:w="120" w:type="dxa"/>
              <w:bottom w:w="80" w:type="dxa"/>
              <w:end w:w="120" w:type="dxa"/>
            </w:tcMar>
            <w:vAlign w:val="center"/>
          </w:tcPr>
          <w:p>
            <w:pPr>
              <w:spacing w:before="0" w:after="0" w:line="240" w:lineRule="auto"/>
            </w:pPr>
            <w:r>
              <w:rPr>
                <w:rFonts w:ascii="Calibri" w:hAnsi="Calibri"/>
                <w:b w:val="0"/>
                <w:color w:val="1F2933"/>
                <w:sz w:val="19"/>
              </w:rPr>
              <w:t>Financial exposure</w:t>
            </w:r>
          </w:p>
        </w:tc>
        <w:tc>
          <w:tcPr>
            <w:tcW w:type="dxa" w:w="1440"/>
            <w:tcMar>
              <w:top w:w="80" w:type="dxa"/>
              <w:start w:w="120" w:type="dxa"/>
              <w:bottom w:w="80" w:type="dxa"/>
              <w:end w:w="120" w:type="dxa"/>
            </w:tcMar>
            <w:vAlign w:val="center"/>
          </w:tcPr>
          <w:p>
            <w:pPr>
              <w:spacing w:before="0" w:after="0" w:line="240" w:lineRule="auto"/>
            </w:pPr>
            <w:r>
              <w:rPr>
                <w:rFonts w:ascii="Calibri" w:hAnsi="Calibri"/>
                <w:b w:val="0"/>
                <w:color w:val="1F2933"/>
                <w:sz w:val="19"/>
              </w:rPr>
              <w:t>Low risk</w:t>
            </w:r>
          </w:p>
        </w:tc>
        <w:tc>
          <w:tcPr>
            <w:tcW w:type="dxa" w:w="1800"/>
            <w:tcMar>
              <w:top w:w="80" w:type="dxa"/>
              <w:start w:w="120" w:type="dxa"/>
              <w:bottom w:w="80" w:type="dxa"/>
              <w:end w:w="120" w:type="dxa"/>
            </w:tcMar>
            <w:vAlign w:val="center"/>
          </w:tcPr>
          <w:p>
            <w:pPr>
              <w:spacing w:before="0" w:after="0" w:line="240" w:lineRule="auto"/>
            </w:pPr>
            <w:r>
              <w:rPr>
                <w:rFonts w:ascii="Calibri" w:hAnsi="Calibri"/>
                <w:b w:val="0"/>
                <w:color w:val="1F2933"/>
                <w:sz w:val="19"/>
              </w:rPr>
              <w:t>Finance</w:t>
            </w:r>
          </w:p>
        </w:tc>
        <w:tc>
          <w:tcPr>
            <w:tcW w:type="dxa" w:w="3960"/>
            <w:tcMar>
              <w:top w:w="80" w:type="dxa"/>
              <w:start w:w="120" w:type="dxa"/>
              <w:bottom w:w="80" w:type="dxa"/>
              <w:end w:w="120" w:type="dxa"/>
            </w:tcMar>
            <w:vAlign w:val="center"/>
          </w:tcPr>
          <w:p>
            <w:pPr>
              <w:spacing w:before="0" w:after="0" w:line="240" w:lineRule="auto"/>
            </w:pPr>
            <w:r>
              <w:rPr>
                <w:rFonts w:ascii="Calibri" w:hAnsi="Calibri"/>
                <w:b w:val="0"/>
                <w:color w:val="1F2933"/>
                <w:sz w:val="19"/>
              </w:rPr>
              <w:t>Quarterly cap remains within policy</w:t>
            </w:r>
          </w:p>
        </w:tc>
      </w:tr>
    </w:tbl>
    <w:p>
      <w:pPr>
        <w:pStyle w:val="Heading2"/>
      </w:pPr>
      <w:r>
        <w:t>Typography stress test</w:t>
      </w:r>
    </w:p>
    <w:p>
      <w:r>
        <w:rPr>
          <w:rFonts w:ascii="Calibri" w:hAnsi="Calibri"/>
          <w:color w:val="000000"/>
          <w:sz w:val="22"/>
        </w:rPr>
        <w:t>The next sentence requests a deliberately unavailable typeface. A document viewer or conversion engine must substitute another font if Northstar Serif Lab is not installed.</w:t>
      </w:r>
    </w:p>
    <w:p>
      <w:pPr>
        <w:spacing w:before="80" w:after="200" w:line="264" w:lineRule="auto"/>
      </w:pPr>
      <w:r>
        <w:rPr>
          <w:rFonts w:ascii="Northstar Serif Lab" w:hAnsi="Northstar Serif Lab"/>
          <w:b/>
          <w:color w:val="0B2545"/>
          <w:sz w:val="30"/>
        </w:rPr>
        <w:t>Fidelity checkpoint: pack my box with five dozen quartz badges.</w:t>
      </w:r>
    </w:p>
    <w:tbl>
      <w:tblPr>
        <w:tblW w:type="dxa" w:w="9360"/>
        <w:jc w:val="left"/>
        <w:tblLayout w:type="fixed"/>
        <w:tblLook w:firstColumn="1" w:firstRow="1" w:lastColumn="0" w:lastRow="0" w:noHBand="0" w:noVBand="1" w:val="04A0"/>
        <w:tblInd w:w="120" w:type="dxa"/>
        <w:tblBorders>
          <w:top w:val="single" w:sz="8" w:space="0" w:color="B7C6D8"/>
          <w:left w:val="single" w:sz="8" w:space="0" w:color="B7C6D8"/>
          <w:bottom w:val="single" w:sz="8" w:space="0" w:color="B7C6D8"/>
          <w:right w:val="single" w:sz="8" w:space="0" w:color="B7C6D8"/>
          <w:insideH w:val="single" w:sz="8" w:space="0" w:color="B7C6D8"/>
          <w:insideV w:val="single" w:sz="8" w:space="0" w:color="B7C6D8"/>
        </w:tblBorders>
      </w:tblPr>
      <w:tblGrid>
        <w:gridCol w:w="9360"/>
      </w:tblGrid>
      <w:tr>
        <w:tc>
          <w:tcPr>
            <w:tcW w:type="dxa" w:w="9360"/>
            <w:tcMar>
              <w:top w:w="80" w:type="dxa"/>
              <w:start w:w="120" w:type="dxa"/>
              <w:bottom w:w="80" w:type="dxa"/>
              <w:end w:w="120" w:type="dxa"/>
            </w:tcMar>
            <w:vAlign w:val="center"/>
            <w:shd w:fill="FFF8E8"/>
          </w:tcPr>
          <w:p>
            <w:pPr>
              <w:spacing w:after="0"/>
            </w:pPr>
            <w:r>
              <w:rPr>
                <w:rFonts w:ascii="Calibri" w:hAnsi="Calibri"/>
                <w:b/>
                <w:color w:val="1F4D78"/>
                <w:sz w:val="22"/>
              </w:rPr>
              <w:t xml:space="preserve">Why this matters: </w:t>
            </w:r>
            <w:r>
              <w:rPr>
                <w:rFonts w:ascii="Calibri" w:hAnsi="Calibri"/>
                <w:color w:val="1F2933"/>
                <w:sz w:val="22"/>
              </w:rPr>
              <w:t>A substituted font can change character widths, line breaks, table wrapping, and ultimately the page count.</w:t>
            </w:r>
          </w:p>
        </w:tc>
      </w:tr>
    </w:tbl>
    <w:p>
      <w:pPr>
        <w:spacing w:after="0"/>
      </w:pPr>
    </w:p>
    <w:p>
      <w:pPr>
        <w:pStyle w:val="Heading2"/>
      </w:pPr>
      <w:r>
        <w:t>Review sequence</w:t>
      </w:r>
    </w:p>
    <w:p>
      <w:pPr>
        <w:pStyle w:val="ListNumber"/>
        <w:spacing w:after="160" w:line="280" w:lineRule="auto"/>
        <w:ind w:left="720" w:hanging="360"/>
      </w:pPr>
      <w:r>
        <w:rPr>
          <w:rFonts w:ascii="Calibri" w:hAnsi="Calibri"/>
          <w:color w:val="000000"/>
          <w:sz w:val="22"/>
        </w:rPr>
        <w:t>Confirm that the PDF opens and contains all three pages.</w:t>
      </w:r>
    </w:p>
    <w:p>
      <w:pPr>
        <w:pStyle w:val="ListNumber"/>
        <w:spacing w:after="160" w:line="280" w:lineRule="auto"/>
        <w:ind w:left="720" w:hanging="360"/>
      </w:pPr>
      <w:r>
        <w:rPr>
          <w:rFonts w:ascii="Calibri" w:hAnsi="Calibri"/>
          <w:color w:val="000000"/>
          <w:sz w:val="22"/>
        </w:rPr>
        <w:t>Compare the title, metadata, table columns, and page breaks with the source render.</w:t>
      </w:r>
    </w:p>
    <w:p>
      <w:pPr>
        <w:pStyle w:val="ListNumber"/>
        <w:spacing w:after="160" w:line="280" w:lineRule="auto"/>
        <w:ind w:left="720" w:hanging="360"/>
      </w:pPr>
      <w:r>
        <w:rPr>
          <w:rFonts w:ascii="Calibri" w:hAnsi="Calibri"/>
          <w:color w:val="000000"/>
          <w:sz w:val="22"/>
        </w:rPr>
        <w:t>Check the requested display font and record any substitution.</w:t>
      </w:r>
    </w:p>
    <w:p>
      <w:pPr>
        <w:pStyle w:val="ListNumber"/>
        <w:spacing w:after="160" w:line="280" w:lineRule="auto"/>
        <w:ind w:left="720" w:hanging="360"/>
      </w:pPr>
      <w:r>
        <w:rPr>
          <w:rFonts w:ascii="Calibri" w:hAnsi="Calibri"/>
          <w:color w:val="000000"/>
          <w:sz w:val="22"/>
        </w:rPr>
        <w:t>Keep the original DOCX as the editable source of record.</w:t>
      </w:r>
    </w:p>
    <w:p>
      <w:pPr>
        <w:pStyle w:val="Heading2"/>
      </w:pPr>
      <w:r>
        <w:t>Known conversion sensitivities</w:t>
      </w:r>
    </w:p>
    <w:p>
      <w:r>
        <w:rPr>
          <w:rFonts w:ascii="Calibri" w:hAnsi="Calibri"/>
          <w:color w:val="000000"/>
          <w:sz w:val="22"/>
        </w:rPr>
        <w:t>Complex fields, tracked changes, comments, embedded objects, equations, custom fonts, and tightly packed layouts deserve a separate fidelity check. This fixture intentionally avoids macros, external links, and personal data.</w:t>
      </w:r>
    </w:p>
    <w:p>
      <w:r>
        <w:br w:type="page"/>
      </w:r>
    </w:p>
    <w:p>
      <w:pPr>
        <w:pStyle w:val="Heading1"/>
      </w:pPr>
      <w:r>
        <w:t>2. Controlled fidelity checklist</w:t>
      </w:r>
    </w:p>
    <w:p>
      <w:r>
        <w:rPr>
          <w:rFonts w:ascii="Calibri" w:hAnsi="Calibri"/>
          <w:color w:val="000000"/>
          <w:sz w:val="22"/>
        </w:rPr>
        <w:t>Use this page to validate the generated PDF before it is shared outside the fictional organization. Every item is synthetic and safe to publish as test evidence.</w:t>
      </w:r>
    </w:p>
    <w:p>
      <w:pPr>
        <w:spacing w:after="160"/>
        <w:ind w:left="216"/>
      </w:pPr>
      <w:r>
        <w:rPr>
          <w:rFonts w:ascii="Calibri" w:hAnsi="Calibri"/>
          <w:color w:val="000000"/>
          <w:sz w:val="22"/>
        </w:rPr>
        <w:t>[ ] Title and subtitle are present and readable.</w:t>
      </w:r>
    </w:p>
    <w:p>
      <w:pPr>
        <w:spacing w:after="160"/>
        <w:ind w:left="216"/>
      </w:pPr>
      <w:r>
        <w:rPr>
          <w:rFonts w:ascii="Calibri" w:hAnsi="Calibri"/>
          <w:color w:val="000000"/>
          <w:sz w:val="22"/>
        </w:rPr>
        <w:t>[ ] Four metadata rows remain together on page 1.</w:t>
      </w:r>
    </w:p>
    <w:p>
      <w:pPr>
        <w:spacing w:after="160"/>
        <w:ind w:left="216"/>
      </w:pPr>
      <w:r>
        <w:rPr>
          <w:rFonts w:ascii="Calibri" w:hAnsi="Calibri"/>
          <w:color w:val="000000"/>
          <w:sz w:val="22"/>
        </w:rPr>
        <w:t>[ ] Decision snapshot contains three suppliers and three columns.</w:t>
      </w:r>
    </w:p>
    <w:p>
      <w:pPr>
        <w:spacing w:after="160"/>
        <w:ind w:left="216"/>
      </w:pPr>
      <w:r>
        <w:rPr>
          <w:rFonts w:ascii="Calibri" w:hAnsi="Calibri"/>
          <w:color w:val="000000"/>
          <w:sz w:val="22"/>
        </w:rPr>
        <w:t>[ ] Risk matrix contains four controls and four columns.</w:t>
      </w:r>
    </w:p>
    <w:p>
      <w:pPr>
        <w:spacing w:after="160"/>
        <w:ind w:left="216"/>
      </w:pPr>
      <w:r>
        <w:rPr>
          <w:rFonts w:ascii="Calibri" w:hAnsi="Calibri"/>
          <w:color w:val="000000"/>
          <w:sz w:val="22"/>
        </w:rPr>
        <w:t>[ ] Numbered review steps appear in the original sequence.</w:t>
      </w:r>
    </w:p>
    <w:p>
      <w:pPr>
        <w:spacing w:after="160"/>
        <w:ind w:left="216"/>
      </w:pPr>
      <w:r>
        <w:rPr>
          <w:rFonts w:ascii="Calibri" w:hAnsi="Calibri"/>
          <w:color w:val="000000"/>
          <w:sz w:val="22"/>
        </w:rPr>
        <w:t>[ ] Header and page number remain inside the printable area.</w:t>
      </w:r>
    </w:p>
    <w:p>
      <w:pPr>
        <w:spacing w:after="160"/>
        <w:ind w:left="216"/>
      </w:pPr>
      <w:r>
        <w:rPr>
          <w:rFonts w:ascii="Calibri" w:hAnsi="Calibri"/>
          <w:color w:val="000000"/>
          <w:sz w:val="22"/>
        </w:rPr>
        <w:t>[ ] The requested Northstar Serif Lab font is checked for substitution.</w:t>
      </w:r>
    </w:p>
    <w:p>
      <w:pPr>
        <w:spacing w:after="160"/>
        <w:ind w:left="216"/>
      </w:pPr>
      <w:r>
        <w:rPr>
          <w:rFonts w:ascii="Calibri" w:hAnsi="Calibri"/>
          <w:color w:val="000000"/>
          <w:sz w:val="22"/>
        </w:rPr>
        <w:t>[ ] No real name, customer record, address, or account identifier appears.</w:t>
      </w:r>
    </w:p>
    <w:p>
      <w:pPr>
        <w:pStyle w:val="Heading2"/>
      </w:pPr>
      <w:r>
        <w:t>Expected limitations</w:t>
      </w:r>
    </w:p>
    <w:p>
      <w:r>
        <w:rPr>
          <w:rFonts w:ascii="Calibri" w:hAnsi="Calibri"/>
          <w:color w:val="000000"/>
          <w:sz w:val="22"/>
        </w:rPr>
        <w:t>A PDF is a delivery copy, not a replacement for the editable DOCX. After conversion, review font substitution, line wrapping, page breaks, links, fields, comments, tracked changes, and accessibility tags according to the document's risk.</w:t>
      </w:r>
    </w:p>
    <w:p>
      <w:pPr>
        <w:pStyle w:val="Heading2"/>
      </w:pPr>
      <w:r>
        <w:t>Synthetic approval record</w:t>
      </w:r>
    </w:p>
    <w:tbl>
      <w:tblPr>
        <w:tblW w:type="dxa" w:w="9360"/>
        <w:jc w:val="left"/>
        <w:tblLayout w:type="fixed"/>
        <w:tblLook w:firstColumn="1" w:firstRow="1" w:lastColumn="0" w:lastRow="0" w:noHBand="0" w:noVBand="1" w:val="04A0"/>
        <w:tblInd w:w="120" w:type="dxa"/>
        <w:tblBorders>
          <w:top w:val="single" w:sz="6" w:space="0" w:color="C8CDD4"/>
          <w:left w:val="single" w:sz="6" w:space="0" w:color="C8CDD4"/>
          <w:bottom w:val="single" w:sz="6" w:space="0" w:color="C8CDD4"/>
          <w:right w:val="single" w:sz="6" w:space="0" w:color="C8CDD4"/>
          <w:insideH w:val="single" w:sz="6" w:space="0" w:color="C8CDD4"/>
          <w:insideV w:val="single" w:sz="6" w:space="0" w:color="C8CDD4"/>
        </w:tblBorders>
      </w:tblPr>
      <w:tblGrid>
        <w:gridCol w:w="2700"/>
        <w:gridCol w:w="6660"/>
      </w:tblGrid>
      <w:tr>
        <w:tc>
          <w:tcPr>
            <w:tcW w:type="dxa" w:w="2700"/>
            <w:tcMar>
              <w:top w:w="80" w:type="dxa"/>
              <w:start w:w="120" w:type="dxa"/>
              <w:bottom w:w="80" w:type="dxa"/>
              <w:end w:w="120" w:type="dxa"/>
            </w:tcMar>
            <w:vAlign w:val="center"/>
            <w:shd w:fill="F2F4F7"/>
          </w:tcPr>
          <w:p>
            <w:pPr>
              <w:spacing w:before="0" w:after="0" w:line="240" w:lineRule="auto"/>
            </w:pPr>
            <w:r>
              <w:rPr>
                <w:rFonts w:ascii="Calibri" w:hAnsi="Calibri"/>
                <w:b/>
                <w:color w:val="0B2545"/>
                <w:sz w:val="19"/>
              </w:rPr>
              <w:t>Document</w:t>
            </w:r>
          </w:p>
        </w:tc>
        <w:tc>
          <w:tcPr>
            <w:tcW w:type="dxa" w:w="6660"/>
            <w:tcMar>
              <w:top w:w="80" w:type="dxa"/>
              <w:start w:w="120" w:type="dxa"/>
              <w:bottom w:w="80" w:type="dxa"/>
              <w:end w:w="120" w:type="dxa"/>
            </w:tcMar>
            <w:vAlign w:val="center"/>
          </w:tcPr>
          <w:p>
            <w:pPr>
              <w:spacing w:before="0" w:after="0" w:line="240" w:lineRule="auto"/>
            </w:pPr>
            <w:r>
              <w:rPr>
                <w:rFonts w:ascii="Calibri" w:hAnsi="Calibri"/>
                <w:b w:val="0"/>
                <w:color w:val="0B2545"/>
                <w:sz w:val="19"/>
              </w:rPr>
              <w:t>Quarterly Supplier Review</w:t>
            </w:r>
          </w:p>
        </w:tc>
      </w:tr>
      <w:tr>
        <w:tc>
          <w:tcPr>
            <w:tcW w:type="dxa" w:w="2700"/>
            <w:tcMar>
              <w:top w:w="80" w:type="dxa"/>
              <w:start w:w="120" w:type="dxa"/>
              <w:bottom w:w="80" w:type="dxa"/>
              <w:end w:w="120" w:type="dxa"/>
            </w:tcMar>
            <w:vAlign w:val="center"/>
            <w:shd w:fill="F2F4F7"/>
          </w:tcPr>
          <w:p>
            <w:pPr>
              <w:spacing w:before="0" w:after="0" w:line="240" w:lineRule="auto"/>
            </w:pPr>
            <w:r>
              <w:rPr>
                <w:rFonts w:ascii="Calibri" w:hAnsi="Calibri"/>
                <w:b/>
                <w:color w:val="1F2933"/>
                <w:sz w:val="19"/>
              </w:rPr>
              <w:t>Fixture ID</w:t>
            </w:r>
          </w:p>
        </w:tc>
        <w:tc>
          <w:tcPr>
            <w:tcW w:type="dxa" w:w="6660"/>
            <w:tcMar>
              <w:top w:w="80" w:type="dxa"/>
              <w:start w:w="120" w:type="dxa"/>
              <w:bottom w:w="80" w:type="dxa"/>
              <w:end w:w="120" w:type="dxa"/>
            </w:tcMar>
            <w:vAlign w:val="center"/>
          </w:tcPr>
          <w:p>
            <w:pPr>
              <w:spacing w:before="0" w:after="0" w:line="240" w:lineRule="auto"/>
            </w:pPr>
            <w:r>
              <w:rPr>
                <w:rFonts w:ascii="Calibri" w:hAnsi="Calibri"/>
                <w:b w:val="0"/>
                <w:color w:val="1F2933"/>
                <w:sz w:val="19"/>
              </w:rPr>
              <w:t>DOCX-PDF-2026-07-20-A</w:t>
            </w:r>
          </w:p>
        </w:tc>
      </w:tr>
      <w:tr>
        <w:tc>
          <w:tcPr>
            <w:tcW w:type="dxa" w:w="2700"/>
            <w:tcMar>
              <w:top w:w="80" w:type="dxa"/>
              <w:start w:w="120" w:type="dxa"/>
              <w:bottom w:w="80" w:type="dxa"/>
              <w:end w:w="120" w:type="dxa"/>
            </w:tcMar>
            <w:vAlign w:val="center"/>
            <w:shd w:fill="F2F4F7"/>
          </w:tcPr>
          <w:p>
            <w:pPr>
              <w:spacing w:before="0" w:after="0" w:line="240" w:lineRule="auto"/>
            </w:pPr>
            <w:r>
              <w:rPr>
                <w:rFonts w:ascii="Calibri" w:hAnsi="Calibri"/>
                <w:b/>
                <w:color w:val="1F2933"/>
                <w:sz w:val="19"/>
              </w:rPr>
              <w:t>Content status</w:t>
            </w:r>
          </w:p>
        </w:tc>
        <w:tc>
          <w:tcPr>
            <w:tcW w:type="dxa" w:w="6660"/>
            <w:tcMar>
              <w:top w:w="80" w:type="dxa"/>
              <w:start w:w="120" w:type="dxa"/>
              <w:bottom w:w="80" w:type="dxa"/>
              <w:end w:w="120" w:type="dxa"/>
            </w:tcMar>
            <w:vAlign w:val="center"/>
          </w:tcPr>
          <w:p>
            <w:pPr>
              <w:spacing w:before="0" w:after="0" w:line="240" w:lineRule="auto"/>
            </w:pPr>
            <w:r>
              <w:rPr>
                <w:rFonts w:ascii="Calibri" w:hAnsi="Calibri"/>
                <w:b w:val="0"/>
                <w:color w:val="1F2933"/>
                <w:sz w:val="19"/>
              </w:rPr>
              <w:t>Synthetic; publication-safe</w:t>
            </w:r>
          </w:p>
        </w:tc>
      </w:tr>
      <w:tr>
        <w:tc>
          <w:tcPr>
            <w:tcW w:type="dxa" w:w="2700"/>
            <w:tcMar>
              <w:top w:w="80" w:type="dxa"/>
              <w:start w:w="120" w:type="dxa"/>
              <w:bottom w:w="80" w:type="dxa"/>
              <w:end w:w="120" w:type="dxa"/>
            </w:tcMar>
            <w:vAlign w:val="center"/>
            <w:shd w:fill="F2F4F7"/>
          </w:tcPr>
          <w:p>
            <w:pPr>
              <w:spacing w:before="0" w:after="0" w:line="240" w:lineRule="auto"/>
            </w:pPr>
            <w:r>
              <w:rPr>
                <w:rFonts w:ascii="Calibri" w:hAnsi="Calibri"/>
                <w:b/>
                <w:color w:val="1F2933"/>
                <w:sz w:val="19"/>
              </w:rPr>
              <w:t>End sentinel</w:t>
            </w:r>
          </w:p>
        </w:tc>
        <w:tc>
          <w:tcPr>
            <w:tcW w:type="dxa" w:w="6660"/>
            <w:tcMar>
              <w:top w:w="80" w:type="dxa"/>
              <w:start w:w="120" w:type="dxa"/>
              <w:bottom w:w="80" w:type="dxa"/>
              <w:end w:w="120" w:type="dxa"/>
            </w:tcMar>
            <w:vAlign w:val="center"/>
          </w:tcPr>
          <w:p>
            <w:pPr>
              <w:spacing w:before="0" w:after="0" w:line="240" w:lineRule="auto"/>
            </w:pPr>
            <w:r>
              <w:rPr>
                <w:rFonts w:ascii="Calibri" w:hAnsi="Calibri"/>
                <w:b w:val="0"/>
                <w:color w:val="1F2933"/>
                <w:sz w:val="19"/>
              </w:rPr>
              <w:t>BRIEF-END-031</w:t>
            </w:r>
          </w:p>
        </w:tc>
      </w:tr>
    </w:tbl>
    <w:sectPr>
      <w:headerReference w:type="default" r:id="rId9"/>
      <w:headerReference w:type="even" r:id="rId10"/>
      <w:footerReference w:type="default" r:id="rId11"/>
      <w:footerReference w:type="even" r:id="rId1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right"/>
    </w:pPr>
    <w:r>
      <w:rPr>
        <w:rFonts w:ascii="Calibri" w:hAnsi="Calibri"/>
        <w:color w:val="5B6573"/>
        <w:sz w:val="18"/>
      </w:rPr>
      <w:t xml:space="preserve">Page </w:t>
    </w:r>
    <w:r>
      <w:fldChar w:fldCharType="begin"/>
      <w:instrText xml:space="preserve">PAGE</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right"/>
    </w:pPr>
    <w:r>
      <w:rPr>
        <w:rFonts w:ascii="Calibri" w:hAnsi="Calibri"/>
        <w:color w:val="5B6573"/>
        <w:sz w:val="18"/>
      </w:rPr>
      <w:t xml:space="preserve">Page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Calibri" w:hAnsi="Calibri"/>
        <w:b/>
        <w:color w:val="5B6573"/>
        <w:sz w:val="17"/>
      </w:rPr>
      <w:t>NORTHSTAR RESEARCH  |  INTERNAL REVIEW</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Calibri" w:hAnsi="Calibri"/>
        <w:b/>
        <w:color w:val="5B6573"/>
        <w:sz w:val="17"/>
      </w:rPr>
      <w:t>NORTHSTAR RESEARCH  |  INTERNAL REVIEW</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60" w:line="280" w:lineRule="auto"/>
      <w:ind w:left="720" w:hanging="360"/>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Supplier Review - Synthetic Fixture</dc:title>
  <dc:subject>DOCX-to-PDF conversion fidelity test</dc:subject>
  <dc:creator/>
  <cp:keywords>synthetic, DOCX, PDF, conversion, fidelity</cp:keywords>
  <dc:description>Contains fictional data only.</dc:description>
  <cp:lastModifiedBy/>
  <cp:revision>1</cp:revision>
  <dcterms:created xsi:type="dcterms:W3CDTF">2013-12-23T23:15:00Z</dcterms:created>
  <dcterms:modified xsi:type="dcterms:W3CDTF">2013-12-23T23:15:00Z</dcterms:modified>
  <cp:category/>
</cp:coreProperties>
</file>